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95" w:rsidRDefault="00202795" w:rsidP="00DD35BF">
      <w:pPr>
        <w:spacing w:line="300" w:lineRule="atLeast"/>
        <w:jc w:val="center"/>
        <w:rPr>
          <w:rFonts w:ascii="Calibri" w:eastAsia="Calibri" w:hAnsi="Calibri" w:cs="Times New Roman"/>
          <w:b/>
          <w:sz w:val="24"/>
          <w:szCs w:val="24"/>
        </w:rPr>
      </w:pPr>
      <w:r>
        <w:tab/>
      </w:r>
      <w:r>
        <w:tab/>
      </w:r>
      <w:r>
        <w:tab/>
      </w:r>
    </w:p>
    <w:p w:rsidR="00202795" w:rsidRDefault="00202795" w:rsidP="00202795">
      <w:pPr>
        <w:pStyle w:val="TitoloScheda"/>
        <w:widowControl/>
        <w:pBdr>
          <w:top w:val="single" w:sz="4" w:space="10" w:color="E2EFD9"/>
          <w:left w:val="single" w:sz="4" w:space="4" w:color="E2EFD9"/>
          <w:bottom w:val="single" w:sz="4" w:space="10" w:color="E2EFD9"/>
          <w:right w:val="single" w:sz="4" w:space="4" w:color="E2EFD9"/>
        </w:pBdr>
        <w:shd w:val="clear" w:color="auto" w:fill="F2F2F2"/>
        <w:spacing w:before="60"/>
        <w:ind w:left="284" w:right="624"/>
        <w:jc w:val="right"/>
        <w:rPr>
          <w:bCs/>
          <w:color w:val="FF0000"/>
        </w:rPr>
      </w:pPr>
      <w:r w:rsidRPr="00584EAB">
        <w:rPr>
          <w:bCs/>
          <w:color w:val="FF0000"/>
        </w:rPr>
        <w:t xml:space="preserve">Allegato </w:t>
      </w:r>
      <w:r>
        <w:rPr>
          <w:bCs/>
          <w:color w:val="FF0000"/>
        </w:rPr>
        <w:t>C all’Avviso pubblico</w:t>
      </w:r>
    </w:p>
    <w:p w:rsidR="00202795" w:rsidRDefault="00202795" w:rsidP="00202795">
      <w:pPr>
        <w:pStyle w:val="TitoloScheda"/>
        <w:widowControl/>
        <w:pBdr>
          <w:top w:val="single" w:sz="4" w:space="10" w:color="E2EFD9"/>
          <w:left w:val="single" w:sz="4" w:space="4" w:color="E2EFD9"/>
          <w:bottom w:val="single" w:sz="4" w:space="10" w:color="E2EFD9"/>
          <w:right w:val="single" w:sz="4" w:space="4" w:color="E2EFD9"/>
        </w:pBdr>
        <w:shd w:val="clear" w:color="auto" w:fill="F2F2F2"/>
        <w:spacing w:before="60"/>
        <w:ind w:left="284" w:right="624"/>
        <w:jc w:val="right"/>
        <w:rPr>
          <w:bCs/>
          <w:color w:val="FF0000"/>
        </w:rPr>
      </w:pPr>
    </w:p>
    <w:p w:rsidR="00202795" w:rsidRPr="00584EAB" w:rsidRDefault="00202795" w:rsidP="00202795">
      <w:pPr>
        <w:pStyle w:val="TitoloScheda"/>
        <w:widowControl/>
        <w:pBdr>
          <w:top w:val="single" w:sz="4" w:space="10" w:color="E2EFD9"/>
          <w:left w:val="single" w:sz="4" w:space="4" w:color="E2EFD9"/>
          <w:bottom w:val="single" w:sz="4" w:space="10" w:color="E2EFD9"/>
          <w:right w:val="single" w:sz="4" w:space="4" w:color="E2EFD9"/>
        </w:pBdr>
        <w:shd w:val="clear" w:color="auto" w:fill="F2F2F2"/>
        <w:spacing w:before="60"/>
        <w:ind w:left="284" w:right="624"/>
        <w:jc w:val="right"/>
        <w:rPr>
          <w:bCs/>
          <w:color w:val="FF0000"/>
        </w:rPr>
      </w:pPr>
    </w:p>
    <w:p w:rsidR="00202795" w:rsidRPr="00B561C9" w:rsidRDefault="00202795" w:rsidP="00202795">
      <w:pPr>
        <w:rPr>
          <w:rFonts w:ascii="Calibri" w:eastAsia="Calibri" w:hAnsi="Calibri" w:cs="Times New Roman"/>
          <w:b/>
          <w:sz w:val="24"/>
          <w:szCs w:val="24"/>
        </w:rPr>
      </w:pPr>
      <w:r w:rsidRPr="00B561C9">
        <w:rPr>
          <w:b/>
          <w:bCs/>
          <w:color w:val="FF0000"/>
          <w:sz w:val="24"/>
          <w:szCs w:val="24"/>
        </w:rPr>
        <w:t xml:space="preserve">              </w:t>
      </w:r>
      <w:r w:rsidRPr="00B561C9">
        <w:rPr>
          <w:sz w:val="24"/>
          <w:szCs w:val="24"/>
        </w:rPr>
        <w:t xml:space="preserve">CONDIZIONI </w:t>
      </w:r>
      <w:proofErr w:type="spellStart"/>
      <w:r w:rsidRPr="00B561C9">
        <w:rPr>
          <w:sz w:val="24"/>
          <w:szCs w:val="24"/>
        </w:rPr>
        <w:t>DI</w:t>
      </w:r>
      <w:proofErr w:type="spellEnd"/>
      <w:r w:rsidRPr="00B561C9">
        <w:rPr>
          <w:sz w:val="24"/>
          <w:szCs w:val="24"/>
        </w:rPr>
        <w:t xml:space="preserve"> CRITICITÀ O VULNERABILITÀ</w:t>
      </w:r>
      <w:r>
        <w:rPr>
          <w:sz w:val="24"/>
          <w:szCs w:val="24"/>
        </w:rPr>
        <w:t xml:space="preserve"> -</w:t>
      </w:r>
      <w:r w:rsidRPr="00B561C9">
        <w:rPr>
          <w:sz w:val="24"/>
          <w:szCs w:val="24"/>
        </w:rPr>
        <w:t xml:space="preserve"> INFRASTRUTTURE A RETE</w:t>
      </w:r>
    </w:p>
    <w:p w:rsidR="00202795" w:rsidRPr="00B561C9" w:rsidRDefault="00202795" w:rsidP="00202795">
      <w:pPr>
        <w:rPr>
          <w:rFonts w:ascii="Calibri" w:eastAsia="Calibri" w:hAnsi="Calibri" w:cs="Times New Roman"/>
          <w:b/>
          <w:sz w:val="24"/>
          <w:szCs w:val="24"/>
        </w:rPr>
      </w:pPr>
    </w:p>
    <w:p w:rsidR="00202795" w:rsidRDefault="00202795" w:rsidP="00202795">
      <w:pPr>
        <w:rPr>
          <w:rFonts w:ascii="Calibri" w:eastAsia="Calibri" w:hAnsi="Calibri" w:cs="Times New Roman"/>
          <w:b/>
          <w:sz w:val="24"/>
          <w:szCs w:val="24"/>
        </w:rPr>
      </w:pPr>
      <w:r>
        <w:rPr>
          <w:rFonts w:ascii="Calibri" w:eastAsia="Calibri" w:hAnsi="Calibri" w:cs="Times New Roman"/>
          <w:b/>
          <w:sz w:val="24"/>
          <w:szCs w:val="24"/>
        </w:rPr>
        <w:t>SISTEMA FOGNARIO DEPURATIVO:</w:t>
      </w:r>
    </w:p>
    <w:p w:rsidR="00202795" w:rsidRPr="00346F02" w:rsidRDefault="00202795" w:rsidP="00202795">
      <w:pPr>
        <w:rPr>
          <w:rFonts w:ascii="Calibri" w:eastAsia="Calibri" w:hAnsi="Calibri" w:cs="Times New Roman"/>
          <w:sz w:val="24"/>
          <w:szCs w:val="24"/>
        </w:rPr>
      </w:pPr>
      <w:r w:rsidRPr="00346F02">
        <w:rPr>
          <w:rFonts w:ascii="Calibri" w:eastAsia="Calibri" w:hAnsi="Calibri" w:cs="Times New Roman"/>
          <w:sz w:val="24"/>
          <w:szCs w:val="24"/>
        </w:rPr>
        <w:t>Il Sistema fognario depurativo del Capoluogo di Pavullo presenta allo stato attuale le seguenti criticità:</w:t>
      </w:r>
    </w:p>
    <w:p w:rsidR="00202795" w:rsidRPr="00D619D0" w:rsidRDefault="00202795" w:rsidP="00202795">
      <w:pPr>
        <w:rPr>
          <w:rFonts w:ascii="Calibri" w:eastAsia="Calibri" w:hAnsi="Calibri" w:cs="Times New Roman"/>
          <w:b/>
          <w:sz w:val="24"/>
          <w:szCs w:val="24"/>
        </w:rPr>
      </w:pPr>
      <w:r w:rsidRPr="00D619D0">
        <w:rPr>
          <w:rFonts w:ascii="Calibri" w:eastAsia="Calibri" w:hAnsi="Calibri" w:cs="Times New Roman"/>
          <w:b/>
          <w:sz w:val="24"/>
          <w:szCs w:val="24"/>
        </w:rPr>
        <w:t>1) sovraccarico idraulico in alcuni tratti della rete fognaria in occasione di eventi particolarmente intensi.</w:t>
      </w:r>
    </w:p>
    <w:p w:rsidR="00202795" w:rsidRPr="00346F02" w:rsidRDefault="00202795" w:rsidP="00202795">
      <w:pPr>
        <w:rPr>
          <w:rFonts w:ascii="Calibri" w:eastAsia="Calibri" w:hAnsi="Calibri" w:cs="Times New Roman"/>
          <w:sz w:val="24"/>
          <w:szCs w:val="24"/>
        </w:rPr>
      </w:pPr>
      <w:r w:rsidRPr="00346F02">
        <w:rPr>
          <w:rFonts w:ascii="Calibri" w:eastAsia="Calibri" w:hAnsi="Calibri" w:cs="Times New Roman"/>
          <w:sz w:val="24"/>
          <w:szCs w:val="24"/>
        </w:rPr>
        <w:t xml:space="preserve"> In particolare la criticità maggiore riguarda il collettore Canale </w:t>
      </w:r>
      <w:proofErr w:type="spellStart"/>
      <w:r w:rsidRPr="00346F02">
        <w:rPr>
          <w:rFonts w:ascii="Calibri" w:eastAsia="Calibri" w:hAnsi="Calibri" w:cs="Times New Roman"/>
          <w:sz w:val="24"/>
          <w:szCs w:val="24"/>
        </w:rPr>
        <w:t>Cogorno</w:t>
      </w:r>
      <w:proofErr w:type="spellEnd"/>
      <w:r w:rsidRPr="00346F02">
        <w:rPr>
          <w:rFonts w:ascii="Calibri" w:eastAsia="Calibri" w:hAnsi="Calibri" w:cs="Times New Roman"/>
          <w:sz w:val="24"/>
          <w:szCs w:val="24"/>
        </w:rPr>
        <w:t xml:space="preserve"> </w:t>
      </w:r>
      <w:proofErr w:type="spellStart"/>
      <w:r w:rsidRPr="00346F02">
        <w:rPr>
          <w:rFonts w:ascii="Calibri" w:eastAsia="Calibri" w:hAnsi="Calibri" w:cs="Times New Roman"/>
          <w:sz w:val="24"/>
          <w:szCs w:val="24"/>
        </w:rPr>
        <w:t>tombato</w:t>
      </w:r>
      <w:proofErr w:type="spellEnd"/>
      <w:r w:rsidRPr="00346F02">
        <w:rPr>
          <w:rFonts w:ascii="Calibri" w:eastAsia="Calibri" w:hAnsi="Calibri" w:cs="Times New Roman"/>
          <w:sz w:val="24"/>
          <w:szCs w:val="24"/>
        </w:rPr>
        <w:t xml:space="preserve"> nel tratto posto sotto la sede stradale di via Marchiani.</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t>Le nuove urbanizzazioni previste nell’ambito del Capoluogo dovranno pertanto prevedere reti separate e garantire sulle reti di raccolta delle acque meteoriche il rispetto dell’invarianza idraulica realizzando sistemi di laminazione interni al comparto.</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t>In aggiunta o in sostituzione agli intervento di cui sopra, tutti i comparti previsti nell’ambito Capoluogo dovranno c</w:t>
      </w:r>
      <w:r w:rsidRPr="00D619D0">
        <w:rPr>
          <w:rFonts w:ascii="Calibri" w:eastAsia="Calibri" w:hAnsi="Calibri" w:cs="Times New Roman"/>
          <w:sz w:val="24"/>
          <w:szCs w:val="24"/>
        </w:rPr>
        <w:t>ontribuire alla realizzazione della vasca di laminazione prevista nell’area dell’Aeropo</w:t>
      </w:r>
      <w:r>
        <w:rPr>
          <w:rFonts w:ascii="Calibri" w:eastAsia="Calibri" w:hAnsi="Calibri" w:cs="Times New Roman"/>
          <w:sz w:val="24"/>
          <w:szCs w:val="24"/>
        </w:rPr>
        <w:t>rto e alla realizzazione di una seconda vasca da valutare in zona la Torba</w:t>
      </w:r>
      <w:r w:rsidRPr="00D619D0">
        <w:rPr>
          <w:rFonts w:ascii="Calibri" w:eastAsia="Calibri" w:hAnsi="Calibri" w:cs="Times New Roman"/>
          <w:sz w:val="24"/>
          <w:szCs w:val="24"/>
        </w:rPr>
        <w:t xml:space="preserve">. </w:t>
      </w:r>
    </w:p>
    <w:p w:rsidR="00202795" w:rsidRDefault="00202795" w:rsidP="00202795">
      <w:pPr>
        <w:rPr>
          <w:rFonts w:ascii="Calibri" w:eastAsia="Calibri" w:hAnsi="Calibri" w:cs="Times New Roman"/>
          <w:sz w:val="24"/>
          <w:szCs w:val="24"/>
        </w:rPr>
      </w:pPr>
      <w:r w:rsidRPr="00D619D0">
        <w:rPr>
          <w:rFonts w:ascii="Calibri" w:eastAsia="Calibri" w:hAnsi="Calibri" w:cs="Times New Roman"/>
          <w:sz w:val="24"/>
          <w:szCs w:val="24"/>
        </w:rPr>
        <w:t xml:space="preserve">Tale </w:t>
      </w:r>
      <w:r>
        <w:rPr>
          <w:rFonts w:ascii="Calibri" w:eastAsia="Calibri" w:hAnsi="Calibri" w:cs="Times New Roman"/>
          <w:sz w:val="24"/>
          <w:szCs w:val="24"/>
        </w:rPr>
        <w:t xml:space="preserve">seconda </w:t>
      </w:r>
      <w:r w:rsidRPr="00D619D0">
        <w:rPr>
          <w:rFonts w:ascii="Calibri" w:eastAsia="Calibri" w:hAnsi="Calibri" w:cs="Times New Roman"/>
          <w:sz w:val="24"/>
          <w:szCs w:val="24"/>
        </w:rPr>
        <w:t xml:space="preserve">soluzione è preferibile dal punto di vista gestionale </w:t>
      </w:r>
      <w:r>
        <w:rPr>
          <w:rFonts w:ascii="Calibri" w:eastAsia="Calibri" w:hAnsi="Calibri" w:cs="Times New Roman"/>
          <w:sz w:val="24"/>
          <w:szCs w:val="24"/>
        </w:rPr>
        <w:t xml:space="preserve">rispetto alla realizzazione di diversi sistemi di laminazione per ogni singolo comparto </w:t>
      </w:r>
      <w:r w:rsidRPr="00D619D0">
        <w:rPr>
          <w:rFonts w:ascii="Calibri" w:eastAsia="Calibri" w:hAnsi="Calibri" w:cs="Times New Roman"/>
          <w:sz w:val="24"/>
          <w:szCs w:val="24"/>
        </w:rPr>
        <w:t xml:space="preserve">in quanto concentra in un unico punto l’invaso di laminazione da gestire evitando di avere numerosi piccoli invasi </w:t>
      </w:r>
      <w:r>
        <w:rPr>
          <w:rFonts w:ascii="Calibri" w:eastAsia="Calibri" w:hAnsi="Calibri" w:cs="Times New Roman"/>
          <w:sz w:val="24"/>
          <w:szCs w:val="24"/>
        </w:rPr>
        <w:t xml:space="preserve">e garantendo una maggiore </w:t>
      </w:r>
      <w:r w:rsidRPr="00D619D0">
        <w:rPr>
          <w:rFonts w:ascii="Calibri" w:eastAsia="Calibri" w:hAnsi="Calibri" w:cs="Times New Roman"/>
          <w:sz w:val="24"/>
          <w:szCs w:val="24"/>
        </w:rPr>
        <w:t>efficacia.</w:t>
      </w:r>
      <w:r>
        <w:rPr>
          <w:rFonts w:ascii="Calibri" w:eastAsia="Calibri" w:hAnsi="Calibri" w:cs="Times New Roman"/>
          <w:sz w:val="24"/>
          <w:szCs w:val="24"/>
        </w:rPr>
        <w:t xml:space="preserve"> </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t>Casi particolari sono gli ambiti ANS 3.16 e 3.17 in quanto sono situati in aree dove è opportuno prevedere la realizzazione di una vasca di laminazione delle acque del Rio Vescovo e quindi devono prevedere fra gli oneri la realizzazione di tale vasca.</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t xml:space="preserve">Allo stesso modo gli ambiti ANS 2.9 e 2.10 sono situati in aree dove è opportuno prevedere la realizzazione di una vasca di laminazione delle acque del Rio </w:t>
      </w:r>
      <w:proofErr w:type="spellStart"/>
      <w:r>
        <w:rPr>
          <w:rFonts w:ascii="Calibri" w:eastAsia="Calibri" w:hAnsi="Calibri" w:cs="Times New Roman"/>
          <w:sz w:val="24"/>
          <w:szCs w:val="24"/>
        </w:rPr>
        <w:t>Budrio</w:t>
      </w:r>
      <w:proofErr w:type="spellEnd"/>
      <w:r>
        <w:rPr>
          <w:rFonts w:ascii="Calibri" w:eastAsia="Calibri" w:hAnsi="Calibri" w:cs="Times New Roman"/>
          <w:sz w:val="24"/>
          <w:szCs w:val="24"/>
        </w:rPr>
        <w:t xml:space="preserve"> e quindi devono prevedere fra gli oneri la realizzazione di tale vasca.</w:t>
      </w:r>
    </w:p>
    <w:p w:rsidR="00202795" w:rsidRPr="00D619D0" w:rsidRDefault="00202795" w:rsidP="00202795">
      <w:pPr>
        <w:rPr>
          <w:rFonts w:ascii="Calibri" w:eastAsia="Calibri" w:hAnsi="Calibri" w:cs="Times New Roman"/>
          <w:sz w:val="24"/>
          <w:szCs w:val="24"/>
        </w:rPr>
      </w:pPr>
      <w:r>
        <w:rPr>
          <w:rFonts w:ascii="Calibri" w:eastAsia="Calibri" w:hAnsi="Calibri" w:cs="Times New Roman"/>
          <w:sz w:val="24"/>
          <w:szCs w:val="24"/>
        </w:rPr>
        <w:t>Per quanto riguarda gli ambiti previsti a Sant’Antonio è necessario prevedere reti separate e individuare recapiti per le reti delle acque meteoriche diversi dalla pubblica fognatura.</w:t>
      </w:r>
    </w:p>
    <w:p w:rsidR="00202795" w:rsidRDefault="00202795" w:rsidP="00202795">
      <w:pPr>
        <w:rPr>
          <w:rFonts w:ascii="Calibri" w:eastAsia="Calibri" w:hAnsi="Calibri" w:cs="Times New Roman"/>
          <w:b/>
          <w:sz w:val="24"/>
          <w:szCs w:val="24"/>
        </w:rPr>
      </w:pPr>
    </w:p>
    <w:p w:rsidR="00202795" w:rsidRDefault="00202795" w:rsidP="00202795">
      <w:pPr>
        <w:rPr>
          <w:rFonts w:ascii="Calibri" w:eastAsia="Calibri" w:hAnsi="Calibri" w:cs="Times New Roman"/>
          <w:b/>
          <w:sz w:val="24"/>
          <w:szCs w:val="24"/>
        </w:rPr>
      </w:pPr>
      <w:r>
        <w:rPr>
          <w:rFonts w:ascii="Calibri" w:eastAsia="Calibri" w:hAnsi="Calibri" w:cs="Times New Roman"/>
          <w:b/>
          <w:sz w:val="24"/>
          <w:szCs w:val="24"/>
        </w:rPr>
        <w:t>2) Saturazione della capacità di trattamento idraulica del depuratore di Pavullo.</w:t>
      </w:r>
    </w:p>
    <w:p w:rsidR="00202795" w:rsidRDefault="00202795" w:rsidP="00202795">
      <w:pPr>
        <w:rPr>
          <w:rFonts w:ascii="Calibri" w:eastAsia="Calibri" w:hAnsi="Calibri" w:cs="Times New Roman"/>
          <w:sz w:val="24"/>
          <w:szCs w:val="24"/>
        </w:rPr>
      </w:pPr>
      <w:r w:rsidRPr="00346F02">
        <w:rPr>
          <w:rFonts w:ascii="Calibri" w:eastAsia="Calibri" w:hAnsi="Calibri" w:cs="Times New Roman"/>
          <w:sz w:val="24"/>
          <w:szCs w:val="24"/>
        </w:rPr>
        <w:t>L’impianto di depurazione di Pavullo ha esaurito la capacità di trattamento dal punto di vista idraulico</w:t>
      </w:r>
      <w:r>
        <w:rPr>
          <w:rFonts w:ascii="Calibri" w:eastAsia="Calibri" w:hAnsi="Calibri" w:cs="Times New Roman"/>
          <w:sz w:val="24"/>
          <w:szCs w:val="24"/>
        </w:rPr>
        <w:t xml:space="preserve"> e non è in grado di ricevere ulteriori apporti</w:t>
      </w:r>
      <w:r w:rsidRPr="00346F02">
        <w:rPr>
          <w:rFonts w:ascii="Calibri" w:eastAsia="Calibri" w:hAnsi="Calibri" w:cs="Times New Roman"/>
          <w:sz w:val="24"/>
          <w:szCs w:val="24"/>
        </w:rPr>
        <w:t>.</w:t>
      </w:r>
      <w:r>
        <w:rPr>
          <w:rFonts w:ascii="Calibri" w:eastAsia="Calibri" w:hAnsi="Calibri" w:cs="Times New Roman"/>
          <w:sz w:val="24"/>
          <w:szCs w:val="24"/>
        </w:rPr>
        <w:t xml:space="preserve"> </w:t>
      </w:r>
    </w:p>
    <w:p w:rsidR="00202795" w:rsidRPr="00346F02" w:rsidRDefault="00202795" w:rsidP="00202795">
      <w:pPr>
        <w:rPr>
          <w:rFonts w:ascii="Calibri" w:eastAsia="Calibri" w:hAnsi="Calibri" w:cs="Times New Roman"/>
          <w:sz w:val="24"/>
          <w:szCs w:val="24"/>
        </w:rPr>
      </w:pPr>
      <w:r>
        <w:rPr>
          <w:rFonts w:ascii="Calibri" w:eastAsia="Calibri" w:hAnsi="Calibri" w:cs="Times New Roman"/>
          <w:sz w:val="24"/>
          <w:szCs w:val="24"/>
        </w:rPr>
        <w:t>Tale situazione non è dovuta agli Abitanti Equivalenti effettivamente depurati quanto alla commistione delle acque bianche derivanti dalla conca posta a monte del Paese con le acque di fognatura. E’ pertanto allo studio un progetto per la separazione delle principali aste fognarie al fine di limitare al minimo gli ingressi di acque bianche nella fognatura mista e al depuratore.</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lastRenderedPageBreak/>
        <w:t>Le nuove urbanizzazioni previste sia nel Capoluogo che a Sant’Antonio dovranno pertanto prevedere reti separate al loro interno e contribuire all’intervento di separazione delle reti fognarie della città.</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t>Il contributo potrà essere valutato nel momento in cui sarà disponibile un progetto preliminare di intervento, e può essere ripartito sulla base delle effettive potenzialità edificatorie in termini di nuovi Abitanti Equivalenti previsti o della Superficie Utile.</w:t>
      </w:r>
    </w:p>
    <w:p w:rsidR="00202795" w:rsidRDefault="00202795" w:rsidP="00202795">
      <w:pPr>
        <w:rPr>
          <w:rFonts w:ascii="Calibri" w:eastAsia="Calibri" w:hAnsi="Calibri" w:cs="Times New Roman"/>
          <w:b/>
          <w:sz w:val="24"/>
          <w:szCs w:val="24"/>
        </w:rPr>
      </w:pPr>
    </w:p>
    <w:p w:rsidR="00202795" w:rsidRDefault="00202795" w:rsidP="00202795">
      <w:pPr>
        <w:rPr>
          <w:rFonts w:ascii="Calibri" w:eastAsia="Calibri" w:hAnsi="Calibri" w:cs="Times New Roman"/>
          <w:b/>
          <w:sz w:val="24"/>
          <w:szCs w:val="24"/>
        </w:rPr>
      </w:pPr>
    </w:p>
    <w:p w:rsidR="00202795" w:rsidRDefault="00202795" w:rsidP="00202795">
      <w:pPr>
        <w:rPr>
          <w:rFonts w:ascii="Calibri" w:eastAsia="Calibri" w:hAnsi="Calibri" w:cs="Times New Roman"/>
          <w:b/>
          <w:sz w:val="24"/>
          <w:szCs w:val="24"/>
        </w:rPr>
      </w:pPr>
      <w:r>
        <w:rPr>
          <w:rFonts w:ascii="Calibri" w:eastAsia="Calibri" w:hAnsi="Calibri" w:cs="Times New Roman"/>
          <w:b/>
          <w:sz w:val="24"/>
          <w:szCs w:val="24"/>
        </w:rPr>
        <w:t>3) Assenza della rete fognaria nella zona di espansione Sant’Antonio</w:t>
      </w:r>
    </w:p>
    <w:p w:rsidR="00202795" w:rsidRDefault="00202795" w:rsidP="00202795">
      <w:pPr>
        <w:rPr>
          <w:rFonts w:ascii="Calibri" w:eastAsia="Calibri" w:hAnsi="Calibri" w:cs="Times New Roman"/>
          <w:sz w:val="24"/>
          <w:szCs w:val="24"/>
        </w:rPr>
      </w:pPr>
      <w:r w:rsidRPr="00423305">
        <w:rPr>
          <w:rFonts w:ascii="Calibri" w:eastAsia="Calibri" w:hAnsi="Calibri" w:cs="Times New Roman"/>
          <w:sz w:val="24"/>
          <w:szCs w:val="24"/>
        </w:rPr>
        <w:t>Per gli ambiti previsti in zona Sant’Antonio sarà necessario prevedere l’</w:t>
      </w:r>
      <w:proofErr w:type="spellStart"/>
      <w:r w:rsidRPr="00423305">
        <w:rPr>
          <w:rFonts w:ascii="Calibri" w:eastAsia="Calibri" w:hAnsi="Calibri" w:cs="Times New Roman"/>
          <w:sz w:val="24"/>
          <w:szCs w:val="24"/>
        </w:rPr>
        <w:t>estendimento</w:t>
      </w:r>
      <w:proofErr w:type="spellEnd"/>
      <w:r w:rsidRPr="00423305">
        <w:rPr>
          <w:rFonts w:ascii="Calibri" w:eastAsia="Calibri" w:hAnsi="Calibri" w:cs="Times New Roman"/>
          <w:sz w:val="24"/>
          <w:szCs w:val="24"/>
        </w:rPr>
        <w:t xml:space="preserve"> della fognatura per acque nere con posa di un collettore sulla via Giardini dallo stabilimento </w:t>
      </w:r>
      <w:proofErr w:type="spellStart"/>
      <w:r w:rsidRPr="00423305">
        <w:rPr>
          <w:rFonts w:ascii="Calibri" w:eastAsia="Calibri" w:hAnsi="Calibri" w:cs="Times New Roman"/>
          <w:sz w:val="24"/>
          <w:szCs w:val="24"/>
        </w:rPr>
        <w:t>Mirage</w:t>
      </w:r>
      <w:proofErr w:type="spellEnd"/>
      <w:r w:rsidRPr="00423305">
        <w:rPr>
          <w:rFonts w:ascii="Calibri" w:eastAsia="Calibri" w:hAnsi="Calibri" w:cs="Times New Roman"/>
          <w:sz w:val="24"/>
          <w:szCs w:val="24"/>
        </w:rPr>
        <w:t xml:space="preserve"> (attuale termine della rete fognaria), fino al comparto ASP 3.6 in  modo da garantire la possibilità di allacciamento in pubblica fognatura e evi</w:t>
      </w:r>
      <w:r>
        <w:rPr>
          <w:rFonts w:ascii="Calibri" w:eastAsia="Calibri" w:hAnsi="Calibri" w:cs="Times New Roman"/>
          <w:sz w:val="24"/>
          <w:szCs w:val="24"/>
        </w:rPr>
        <w:t>t</w:t>
      </w:r>
      <w:r w:rsidRPr="00423305">
        <w:rPr>
          <w:rFonts w:ascii="Calibri" w:eastAsia="Calibri" w:hAnsi="Calibri" w:cs="Times New Roman"/>
          <w:sz w:val="24"/>
          <w:szCs w:val="24"/>
        </w:rPr>
        <w:t xml:space="preserve">are </w:t>
      </w:r>
      <w:r>
        <w:rPr>
          <w:rFonts w:ascii="Calibri" w:eastAsia="Calibri" w:hAnsi="Calibri" w:cs="Times New Roman"/>
          <w:sz w:val="24"/>
          <w:szCs w:val="24"/>
        </w:rPr>
        <w:t xml:space="preserve">la realizzazione di singoli impianti di trattamento privati. Gli ambiti previsti a sud della ceramica </w:t>
      </w:r>
      <w:proofErr w:type="spellStart"/>
      <w:r>
        <w:rPr>
          <w:rFonts w:ascii="Calibri" w:eastAsia="Calibri" w:hAnsi="Calibri" w:cs="Times New Roman"/>
          <w:sz w:val="24"/>
          <w:szCs w:val="24"/>
        </w:rPr>
        <w:t>Mirage</w:t>
      </w:r>
      <w:proofErr w:type="spellEnd"/>
      <w:r>
        <w:rPr>
          <w:rFonts w:ascii="Calibri" w:eastAsia="Calibri" w:hAnsi="Calibri" w:cs="Times New Roman"/>
          <w:sz w:val="24"/>
          <w:szCs w:val="24"/>
        </w:rPr>
        <w:t xml:space="preserve"> sono situati in area servita da rete fognaria</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t xml:space="preserve">Gli ambiti previsti a </w:t>
      </w:r>
      <w:proofErr w:type="spellStart"/>
      <w:r>
        <w:rPr>
          <w:rFonts w:ascii="Calibri" w:eastAsia="Calibri" w:hAnsi="Calibri" w:cs="Times New Roman"/>
          <w:sz w:val="24"/>
          <w:szCs w:val="24"/>
        </w:rPr>
        <w:t>Montebonello</w:t>
      </w:r>
      <w:proofErr w:type="spellEnd"/>
      <w:r>
        <w:rPr>
          <w:rFonts w:ascii="Calibri" w:eastAsia="Calibri" w:hAnsi="Calibri" w:cs="Times New Roman"/>
          <w:sz w:val="24"/>
          <w:szCs w:val="24"/>
        </w:rPr>
        <w:t xml:space="preserve">, in caso superino un carico insediativo di 100 nuovi Ab. Equivalenti, dovranno concorrere alla realizzazione di un impianto di depurazione per l’abitato di </w:t>
      </w:r>
      <w:proofErr w:type="spellStart"/>
      <w:r>
        <w:rPr>
          <w:rFonts w:ascii="Calibri" w:eastAsia="Calibri" w:hAnsi="Calibri" w:cs="Times New Roman"/>
          <w:sz w:val="24"/>
          <w:szCs w:val="24"/>
        </w:rPr>
        <w:t>Montebonello</w:t>
      </w:r>
      <w:proofErr w:type="spellEnd"/>
      <w:r>
        <w:rPr>
          <w:rFonts w:ascii="Calibri" w:eastAsia="Calibri" w:hAnsi="Calibri" w:cs="Times New Roman"/>
          <w:sz w:val="24"/>
          <w:szCs w:val="24"/>
        </w:rPr>
        <w:t xml:space="preserve"> in quanto  l’agglomerato sarebbe superiore ai 200 Abitanti Equivalenti. In caso il carico insediativo previsto sia inferiore sarà da prevedere solamente la sostituzione delle attuali fosse </w:t>
      </w:r>
      <w:proofErr w:type="spellStart"/>
      <w:r>
        <w:rPr>
          <w:rFonts w:ascii="Calibri" w:eastAsia="Calibri" w:hAnsi="Calibri" w:cs="Times New Roman"/>
          <w:sz w:val="24"/>
          <w:szCs w:val="24"/>
        </w:rPr>
        <w:t>imhoff</w:t>
      </w:r>
      <w:proofErr w:type="spellEnd"/>
      <w:r>
        <w:rPr>
          <w:rFonts w:ascii="Calibri" w:eastAsia="Calibri" w:hAnsi="Calibri" w:cs="Times New Roman"/>
          <w:sz w:val="24"/>
          <w:szCs w:val="24"/>
        </w:rPr>
        <w:t xml:space="preserve"> con nuove fosse </w:t>
      </w:r>
      <w:proofErr w:type="spellStart"/>
      <w:r>
        <w:rPr>
          <w:rFonts w:ascii="Calibri" w:eastAsia="Calibri" w:hAnsi="Calibri" w:cs="Times New Roman"/>
          <w:sz w:val="24"/>
          <w:szCs w:val="24"/>
        </w:rPr>
        <w:t>imhoff</w:t>
      </w:r>
      <w:proofErr w:type="spellEnd"/>
      <w:r>
        <w:rPr>
          <w:rFonts w:ascii="Calibri" w:eastAsia="Calibri" w:hAnsi="Calibri" w:cs="Times New Roman"/>
          <w:sz w:val="24"/>
          <w:szCs w:val="24"/>
        </w:rPr>
        <w:t xml:space="preserve"> di capacità adeguata.</w:t>
      </w:r>
    </w:p>
    <w:p w:rsidR="00202795" w:rsidRDefault="00202795" w:rsidP="00202795">
      <w:pPr>
        <w:rPr>
          <w:rFonts w:ascii="Calibri" w:eastAsia="Calibri" w:hAnsi="Calibri" w:cs="Times New Roman"/>
          <w:sz w:val="24"/>
          <w:szCs w:val="24"/>
        </w:rPr>
      </w:pPr>
      <w:r>
        <w:rPr>
          <w:rFonts w:ascii="Calibri" w:eastAsia="Calibri" w:hAnsi="Calibri" w:cs="Times New Roman"/>
          <w:sz w:val="24"/>
          <w:szCs w:val="24"/>
        </w:rPr>
        <w:t>L’ambito ANS 1.29 dovrà prevedere l’</w:t>
      </w:r>
      <w:proofErr w:type="spellStart"/>
      <w:r>
        <w:rPr>
          <w:rFonts w:ascii="Calibri" w:eastAsia="Calibri" w:hAnsi="Calibri" w:cs="Times New Roman"/>
          <w:sz w:val="24"/>
          <w:szCs w:val="24"/>
        </w:rPr>
        <w:t>estendimento</w:t>
      </w:r>
      <w:proofErr w:type="spellEnd"/>
      <w:r>
        <w:rPr>
          <w:rFonts w:ascii="Calibri" w:eastAsia="Calibri" w:hAnsi="Calibri" w:cs="Times New Roman"/>
          <w:sz w:val="24"/>
          <w:szCs w:val="24"/>
        </w:rPr>
        <w:t xml:space="preserve"> della rete fognaria per acque nere in quanto l’abitato di </w:t>
      </w:r>
      <w:proofErr w:type="spellStart"/>
      <w:r>
        <w:rPr>
          <w:rFonts w:ascii="Calibri" w:eastAsia="Calibri" w:hAnsi="Calibri" w:cs="Times New Roman"/>
          <w:sz w:val="24"/>
          <w:szCs w:val="24"/>
        </w:rPr>
        <w:t>Acquabona</w:t>
      </w:r>
      <w:proofErr w:type="spellEnd"/>
      <w:r>
        <w:rPr>
          <w:rFonts w:ascii="Calibri" w:eastAsia="Calibri" w:hAnsi="Calibri" w:cs="Times New Roman"/>
          <w:sz w:val="24"/>
          <w:szCs w:val="24"/>
        </w:rPr>
        <w:t xml:space="preserve"> è attualmente sprovvisto di rete fognaria.</w:t>
      </w:r>
    </w:p>
    <w:p w:rsidR="00202795" w:rsidRPr="00E5289C" w:rsidRDefault="00202795" w:rsidP="00202795">
      <w:pPr>
        <w:rPr>
          <w:rFonts w:ascii="Calibri" w:eastAsia="Calibri" w:hAnsi="Calibri" w:cs="Times New Roman"/>
          <w:sz w:val="24"/>
          <w:szCs w:val="24"/>
        </w:rPr>
      </w:pPr>
      <w:bookmarkStart w:id="0" w:name="_GoBack"/>
      <w:bookmarkEnd w:id="0"/>
    </w:p>
    <w:p w:rsidR="00202795" w:rsidRPr="00F96CF3" w:rsidRDefault="00202795" w:rsidP="00202795">
      <w:pPr>
        <w:tabs>
          <w:tab w:val="left" w:pos="6096"/>
        </w:tabs>
        <w:spacing w:before="0" w:line="280" w:lineRule="atLeast"/>
        <w:ind w:left="284"/>
      </w:pPr>
      <w:r>
        <w:tab/>
      </w:r>
      <w:r>
        <w:tab/>
      </w:r>
    </w:p>
    <w:p w:rsidR="00BC4D9E" w:rsidRDefault="00DD35BF"/>
    <w:sectPr w:rsidR="00BC4D9E" w:rsidSect="00CF35F1">
      <w:pgSz w:w="11907" w:h="16840"/>
      <w:pgMar w:top="1134" w:right="1134" w:bottom="1247" w:left="680" w:header="567" w:footer="56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2795"/>
    <w:rsid w:val="00202795"/>
    <w:rsid w:val="006160A5"/>
    <w:rsid w:val="006F47ED"/>
    <w:rsid w:val="007E25F7"/>
    <w:rsid w:val="00B85A92"/>
    <w:rsid w:val="00C46912"/>
    <w:rsid w:val="00DD35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2795"/>
    <w:pPr>
      <w:spacing w:before="120" w:after="0" w:line="320" w:lineRule="atLeast"/>
      <w:jc w:val="both"/>
    </w:pPr>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Scheda">
    <w:name w:val="TitoloScheda"/>
    <w:basedOn w:val="Normale"/>
    <w:rsid w:val="00202795"/>
    <w:pPr>
      <w:widowControl w:val="0"/>
      <w:spacing w:before="0" w:line="300" w:lineRule="atLeast"/>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dlavacchielli</dc:creator>
  <cp:keywords/>
  <dc:description/>
  <cp:lastModifiedBy>dlavacchielli</cp:lastModifiedBy>
  <cp:revision>3</cp:revision>
  <dcterms:created xsi:type="dcterms:W3CDTF">2018-08-03T08:25:00Z</dcterms:created>
  <dcterms:modified xsi:type="dcterms:W3CDTF">2018-08-03T08:26:00Z</dcterms:modified>
</cp:coreProperties>
</file>